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9D" w:rsidRDefault="00977E9D" w:rsidP="00977E9D">
      <w:pPr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Розділ 4. Характеристика програм, за якими працює школа (школа</w:t>
      </w:r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з</w:t>
      </w:r>
      <w:proofErr w:type="spellEnd"/>
      <w:r>
        <w:rPr>
          <w:b/>
          <w:bCs/>
          <w:sz w:val="28"/>
          <w:u w:val="single"/>
        </w:rPr>
        <w:t xml:space="preserve"> рос</w:t>
      </w:r>
      <w:r>
        <w:rPr>
          <w:b/>
          <w:bCs/>
          <w:sz w:val="28"/>
          <w:u w:val="single"/>
          <w:lang w:val="uk-UA"/>
        </w:rPr>
        <w:t>і</w:t>
      </w:r>
      <w:proofErr w:type="spellStart"/>
      <w:r>
        <w:rPr>
          <w:b/>
          <w:bCs/>
          <w:sz w:val="28"/>
          <w:u w:val="single"/>
        </w:rPr>
        <w:t>йською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мовою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викладання</w:t>
      </w:r>
      <w:proofErr w:type="spellEnd"/>
      <w:r>
        <w:rPr>
          <w:b/>
          <w:bCs/>
          <w:sz w:val="28"/>
          <w:u w:val="single"/>
          <w:lang w:val="uk-UA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8"/>
        <w:gridCol w:w="1950"/>
        <w:gridCol w:w="9635"/>
        <w:gridCol w:w="1122"/>
        <w:gridCol w:w="2431"/>
      </w:tblGrid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№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Предмет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pStyle w:val="8"/>
            </w:pPr>
            <w:r>
              <w:t>Назва програми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Рік видання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Видавництво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Українська література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Українська мова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Українська мова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5-9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Українська література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Програма для 5 класів за редакцією Р.В.Мовчан, К.В. </w:t>
            </w:r>
            <w:proofErr w:type="spellStart"/>
            <w:r>
              <w:rPr>
                <w:rFonts w:ascii="Arial Narrow" w:hAnsi="Arial Narrow"/>
                <w:lang w:val="uk-UA"/>
              </w:rPr>
              <w:t>Таранік-Ткачук</w:t>
            </w:r>
            <w:proofErr w:type="spellEnd"/>
            <w:r>
              <w:rPr>
                <w:rFonts w:ascii="Arial Narrow" w:hAnsi="Arial Narrow"/>
                <w:lang w:val="uk-UA"/>
              </w:rPr>
              <w:t>, М.П.Бондар, О.М.Івасюк, С.А.Кочерга (за новим Державним стандартом базової і повної загальної середньої освіти)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 Російська мова</w:t>
            </w:r>
          </w:p>
          <w:p w:rsidR="00977E9D" w:rsidRDefault="00977E9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 Література (рос.</w:t>
            </w:r>
          </w:p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та зарубіжна)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Програми для загальноосвітніх закладів із навчання російською мовою для старшої профільної школи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Російська мова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Література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Іноземні мови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загальноосвітніх навчальних закладів з російською мовою навчання для 1-3 класів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Київ.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Іноземні мови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Програми для  загальноосвітніх навчальних закладів. Іноземні мови для 5 -9 класів.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Іноземні мови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Основи правознавства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загальноосвітніх навчальних закладів.  9 клас (практичний курс)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2009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ПП «Вікторія»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Правознавство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Київ, </w:t>
            </w:r>
            <w:proofErr w:type="spellStart"/>
            <w:r>
              <w:rPr>
                <w:rFonts w:ascii="Arial Narrow" w:hAnsi="Arial Narrow"/>
                <w:lang w:val="uk-UA"/>
              </w:rPr>
              <w:t>Поліграфкнига</w:t>
            </w:r>
            <w:proofErr w:type="spellEnd"/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Людина і світ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Історія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Програма Історія України (Вступ до історії) для 5 класів загальноосвітніх навчальних закладів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 «Освіта»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Історія України та всесвітня історія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Київ, </w:t>
            </w:r>
            <w:proofErr w:type="spellStart"/>
            <w:r>
              <w:rPr>
                <w:rFonts w:ascii="Arial Narrow" w:hAnsi="Arial Narrow"/>
                <w:lang w:val="uk-UA"/>
              </w:rPr>
              <w:t>Поліграфкнига</w:t>
            </w:r>
            <w:proofErr w:type="spellEnd"/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Музичне мистецтво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Художньо-естетичний цикл. Програма для загальноосвітніх закладів 5-8 кл.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Київ. 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Музичне мистецтво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Образотворче мистецтво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Програма для загальноосвітніх навчальних закладів   «Образотворче мистецтво» (5-7 класі)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Художня культура та естетика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Фізика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Астрономія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Біологія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загальноосвітніх навчальних закладів. Біологія 5-9 класи.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Вид. дім «Освіта»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Біологія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rPr>
          <w:trHeight w:val="2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Екологія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Природознавство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загальноосвітніх навчальних закладів 5-6 кл.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Київ. Ірпінь.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Географія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загальноосвітніх навчальних закладів. Географія  6-9 класи.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Вид. дім </w:t>
            </w:r>
            <w:proofErr w:type="spellStart"/>
            <w:r>
              <w:rPr>
                <w:rFonts w:ascii="Arial Narrow" w:hAnsi="Arial Narrow"/>
                <w:lang w:val="uk-UA"/>
              </w:rPr>
              <w:t>“Освіта”</w:t>
            </w:r>
            <w:proofErr w:type="spellEnd"/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Географія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Програми курсів за вибором та факультативів (частина 1, частина 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rPr>
          <w:trHeight w:val="33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Географія та економіка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Хімія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Основи здоров’я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Програма загальноосвітніх навчальних закладів для 5 -9 класів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Київ. «Освіта»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Фізична культура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основної та спеціальних медичних груп. Загальноосвітній навчальний заклад. 1-4 клас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2006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Харків «Ранок»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Фізична культура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5-11 класів загальноосвітніх навчальних закладів(стандарт, 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Фізична культура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Математика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Математика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5-9 класів  загальноосвітніх навчальних закладів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Трудове навчання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5-9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Початкова школа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Програми для загальноосвітніх шкіл. Початкова школа (1-4 класи)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0"/>
                <w:szCs w:val="24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Київ “ Вид. дім «Освіта»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Збірник навчальних програм для загальноосвітніх навчальних закладів з поглибленим вивченням предметів </w:t>
            </w:r>
            <w:proofErr w:type="spellStart"/>
            <w:r>
              <w:rPr>
                <w:rFonts w:ascii="Arial Narrow" w:hAnsi="Arial Narrow"/>
                <w:lang w:val="uk-UA"/>
              </w:rPr>
              <w:t>природничо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- математичного та технологічного циклу.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2009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0"/>
                <w:szCs w:val="24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Київ. «Вікторія»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Технологія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Збірники навчальних програм для 10-11 кл. з/о навчальних закладів (Агро виробництво, Будівництво. Опоряджувальні роботи. Енергетика. Кулінарія. Деревообробка. Легка промисловість. Конструювання на моделювання одягу. Матеріалознавство та технології конструкційних матеріалів. Українська народна вишивка. Металообробка. Основи дизайну. </w:t>
            </w:r>
            <w:proofErr w:type="spellStart"/>
            <w:r>
              <w:rPr>
                <w:rFonts w:ascii="Arial Narrow" w:hAnsi="Arial Narrow"/>
                <w:lang w:val="uk-UA"/>
              </w:rPr>
              <w:t>Техничне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проектування. Художня обробка матеріалів. Швейна справа. Основи бджільництва.)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Збірник навчальних програм курсів за вибором учнів 10-11 класів суспільно-гуманітарного напрямку (частини 1,2,3)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Збірник нормативно-правових актів з питань (запровадження11 річної освіти) загальної середньої освіти (том 1,2,3,4)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pStyle w:val="3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Критерії оцінювання рівня навчальних досягнень системи загальної середньої освіти учнів початкової школи (частини 1 та 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pStyle w:val="3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Критерії оцінювання рівня навчальних досягнень учнів з/о навчальних закладів(основна та старша школа)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rPr>
          <w:trHeight w:val="29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Захіст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Вітчизни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 (стандарт, академічний)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rPr>
          <w:trHeight w:val="3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Інформатика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10-11 класів загальноосвітніх навчальних закладів(стандарт, академічний, профільний)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  <w:tr w:rsidR="00977E9D" w:rsidTr="00977E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D" w:rsidRDefault="00977E9D" w:rsidP="00977E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Інформатика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Програма для 5-9 класів загальноосвітніх навчальних закладів з російською мовою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D" w:rsidRDefault="00977E9D">
            <w:pP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Київ</w:t>
            </w:r>
          </w:p>
        </w:tc>
      </w:tr>
    </w:tbl>
    <w:p w:rsidR="00BC3F14" w:rsidRDefault="00BC3F14"/>
    <w:sectPr w:rsidR="00BC3F14" w:rsidSect="00977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B1F"/>
    <w:multiLevelType w:val="hybridMultilevel"/>
    <w:tmpl w:val="182A5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E9D"/>
    <w:rsid w:val="00977E9D"/>
    <w:rsid w:val="00B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977E9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77E9D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3">
    <w:name w:val="Body Text 3"/>
    <w:basedOn w:val="a"/>
    <w:link w:val="30"/>
    <w:unhideWhenUsed/>
    <w:rsid w:val="00977E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customStyle="1" w:styleId="30">
    <w:name w:val="Основной текст 3 Знак"/>
    <w:basedOn w:val="a0"/>
    <w:link w:val="3"/>
    <w:rsid w:val="00977E9D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>Grizli777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2017-12-06T12:41:00Z</dcterms:created>
  <dcterms:modified xsi:type="dcterms:W3CDTF">2017-12-06T12:42:00Z</dcterms:modified>
</cp:coreProperties>
</file>